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3" w:rsidRDefault="002668AE" w:rsidP="00C4472A">
      <w:pPr>
        <w:pStyle w:val="NormalWeb"/>
        <w:spacing w:before="600" w:beforeAutospacing="0" w:after="360" w:afterAutospacing="0"/>
        <w:jc w:val="center"/>
        <w:rPr>
          <w:rFonts w:asciiTheme="minorHAnsi" w:hAnsiTheme="minorHAnsi"/>
          <w:b/>
          <w:noProof/>
          <w:sz w:val="44"/>
          <w:szCs w:val="44"/>
          <w:lang w:eastAsia="zh-TW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44"/>
          <w:szCs w:val="44"/>
          <w:lang w:eastAsia="zh-TW"/>
        </w:rPr>
        <w:t>MCC</w:t>
      </w:r>
      <w:r w:rsidR="001E0606">
        <w:rPr>
          <w:rFonts w:asciiTheme="minorHAnsi" w:hAnsiTheme="minorHAnsi"/>
          <w:b/>
          <w:noProof/>
          <w:sz w:val="44"/>
          <w:szCs w:val="44"/>
          <w:lang w:eastAsia="zh-TW"/>
        </w:rPr>
        <w:t xml:space="preserve"> 2/21/14</w:t>
      </w:r>
      <w:r w:rsidR="00F76B12">
        <w:rPr>
          <w:rFonts w:asciiTheme="minorHAnsi" w:hAnsiTheme="minorHAnsi"/>
          <w:b/>
          <w:noProof/>
          <w:sz w:val="44"/>
          <w:szCs w:val="44"/>
          <w:lang w:eastAsia="zh-TW"/>
        </w:rPr>
        <w:t xml:space="preserve"> Proposal</w:t>
      </w:r>
    </w:p>
    <w:p w:rsidR="007400D7" w:rsidRPr="00553AD7" w:rsidRDefault="00C4472A" w:rsidP="00553AD7">
      <w:pPr>
        <w:shd w:val="clear" w:color="auto" w:fill="D9D9D9" w:themeFill="background1" w:themeFillShade="D9"/>
        <w:spacing w:after="240" w:line="240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553AD7" w:rsidTr="00BD05D0">
        <w:tc>
          <w:tcPr>
            <w:tcW w:w="3978" w:type="dxa"/>
            <w:shd w:val="clear" w:color="auto" w:fill="C2D69B" w:themeFill="accent3" w:themeFillTint="99"/>
          </w:tcPr>
          <w:p w:rsidR="00553AD7" w:rsidRPr="00F02EA8" w:rsidRDefault="00115A64" w:rsidP="00F02EA8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F02EA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598" w:type="dxa"/>
            <w:shd w:val="clear" w:color="auto" w:fill="C2D69B" w:themeFill="accent3" w:themeFillTint="99"/>
          </w:tcPr>
          <w:p w:rsidR="00553AD7" w:rsidRPr="00F02EA8" w:rsidRDefault="00553AD7" w:rsidP="00F02EA8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F02EA8">
              <w:rPr>
                <w:b/>
                <w:sz w:val="20"/>
                <w:szCs w:val="20"/>
              </w:rPr>
              <w:t>OFFER</w:t>
            </w:r>
          </w:p>
        </w:tc>
      </w:tr>
      <w:tr w:rsidR="00553AD7" w:rsidTr="00BD05D0">
        <w:tc>
          <w:tcPr>
            <w:tcW w:w="3978" w:type="dxa"/>
            <w:shd w:val="clear" w:color="auto" w:fill="D6E3BC" w:themeFill="accent3" w:themeFillTint="66"/>
          </w:tcPr>
          <w:p w:rsidR="00553AD7" w:rsidRPr="002C0B5A" w:rsidRDefault="00553AD7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Sales Tax</w:t>
            </w:r>
          </w:p>
        </w:tc>
        <w:tc>
          <w:tcPr>
            <w:tcW w:w="5598" w:type="dxa"/>
            <w:shd w:val="clear" w:color="auto" w:fill="D6E3BC" w:themeFill="accent3" w:themeFillTint="66"/>
          </w:tcPr>
          <w:p w:rsidR="00553AD7" w:rsidRPr="002C0B5A" w:rsidRDefault="001E0606" w:rsidP="00D33DCD">
            <w:pPr>
              <w:spacing w:before="60" w:after="120"/>
              <w:rPr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$</w:t>
            </w:r>
            <w:r w:rsidR="000B531F" w:rsidRPr="002C0B5A">
              <w:rPr>
                <w:b/>
                <w:sz w:val="24"/>
                <w:szCs w:val="24"/>
              </w:rPr>
              <w:t>720</w:t>
            </w:r>
            <w:r w:rsidR="001744EE" w:rsidRPr="002C0B5A">
              <w:rPr>
                <w:b/>
                <w:sz w:val="24"/>
                <w:szCs w:val="24"/>
              </w:rPr>
              <w:t>M</w:t>
            </w:r>
            <w:r w:rsidR="00D33DCD" w:rsidRPr="002C0B5A">
              <w:rPr>
                <w:b/>
                <w:sz w:val="24"/>
                <w:szCs w:val="24"/>
              </w:rPr>
              <w:t xml:space="preserve"> </w:t>
            </w:r>
            <w:r w:rsidR="001744EE" w:rsidRPr="002C0B5A">
              <w:rPr>
                <w:b/>
                <w:sz w:val="24"/>
                <w:szCs w:val="24"/>
              </w:rPr>
              <w:t xml:space="preserve"> </w:t>
            </w:r>
            <w:r w:rsidR="007E3232" w:rsidRPr="002C0B5A">
              <w:rPr>
                <w:sz w:val="24"/>
                <w:szCs w:val="24"/>
              </w:rPr>
              <w:t>Sales tax from the new law transportation proposal returned to transportation. C</w:t>
            </w:r>
            <w:r w:rsidRPr="002C0B5A">
              <w:rPr>
                <w:sz w:val="24"/>
                <w:szCs w:val="24"/>
              </w:rPr>
              <w:t>urrent projects start</w:t>
            </w:r>
            <w:r w:rsidR="007E3232" w:rsidRPr="002C0B5A">
              <w:rPr>
                <w:sz w:val="24"/>
                <w:szCs w:val="24"/>
              </w:rPr>
              <w:t>ing 2019/21. (</w:t>
            </w:r>
            <w:r w:rsidR="00FD20A2" w:rsidRPr="002C0B5A">
              <w:rPr>
                <w:sz w:val="24"/>
                <w:szCs w:val="24"/>
              </w:rPr>
              <w:t xml:space="preserve">This modifies </w:t>
            </w:r>
            <w:r w:rsidR="00F15093">
              <w:rPr>
                <w:sz w:val="24"/>
                <w:szCs w:val="24"/>
              </w:rPr>
              <w:t>the Sales Tax r</w:t>
            </w:r>
            <w:r w:rsidR="007E3232" w:rsidRPr="002C0B5A">
              <w:rPr>
                <w:sz w:val="24"/>
                <w:szCs w:val="24"/>
              </w:rPr>
              <w:t xml:space="preserve">eform </w:t>
            </w:r>
            <w:r w:rsidR="00F15093">
              <w:rPr>
                <w:sz w:val="24"/>
                <w:szCs w:val="24"/>
              </w:rPr>
              <w:t xml:space="preserve">on </w:t>
            </w:r>
            <w:r w:rsidR="007E3232" w:rsidRPr="002C0B5A">
              <w:rPr>
                <w:sz w:val="24"/>
                <w:szCs w:val="24"/>
              </w:rPr>
              <w:t>page</w:t>
            </w:r>
            <w:r w:rsidR="00F15093">
              <w:rPr>
                <w:sz w:val="24"/>
                <w:szCs w:val="24"/>
              </w:rPr>
              <w:t>s</w:t>
            </w:r>
            <w:r w:rsidR="00FD20A2" w:rsidRPr="002C0B5A">
              <w:rPr>
                <w:sz w:val="24"/>
                <w:szCs w:val="24"/>
              </w:rPr>
              <w:t xml:space="preserve"> 1 and 2 of 2/13</w:t>
            </w:r>
            <w:r w:rsidR="007E3232" w:rsidRPr="002C0B5A">
              <w:rPr>
                <w:sz w:val="24"/>
                <w:szCs w:val="24"/>
              </w:rPr>
              <w:t xml:space="preserve"> proposal</w:t>
            </w:r>
            <w:r w:rsidR="00F15093">
              <w:rPr>
                <w:sz w:val="24"/>
                <w:szCs w:val="24"/>
              </w:rPr>
              <w:t>.</w:t>
            </w:r>
            <w:r w:rsidR="007E3232" w:rsidRPr="002C0B5A">
              <w:rPr>
                <w:sz w:val="24"/>
                <w:szCs w:val="24"/>
              </w:rPr>
              <w:t>)</w:t>
            </w:r>
          </w:p>
        </w:tc>
      </w:tr>
      <w:tr w:rsidR="00553AD7" w:rsidTr="00BD05D0">
        <w:trPr>
          <w:trHeight w:val="602"/>
        </w:trPr>
        <w:tc>
          <w:tcPr>
            <w:tcW w:w="3978" w:type="dxa"/>
            <w:shd w:val="clear" w:color="auto" w:fill="auto"/>
          </w:tcPr>
          <w:p w:rsidR="00553AD7" w:rsidRPr="002C0B5A" w:rsidRDefault="00553AD7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Stormwater</w:t>
            </w:r>
          </w:p>
        </w:tc>
        <w:tc>
          <w:tcPr>
            <w:tcW w:w="5598" w:type="dxa"/>
            <w:shd w:val="clear" w:color="auto" w:fill="auto"/>
          </w:tcPr>
          <w:p w:rsidR="000B06C8" w:rsidRPr="002C0B5A" w:rsidRDefault="007E3232" w:rsidP="002668AE">
            <w:pPr>
              <w:spacing w:before="60" w:after="60"/>
              <w:rPr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 xml:space="preserve">$40 M </w:t>
            </w:r>
            <w:r w:rsidRPr="002C0B5A">
              <w:rPr>
                <w:sz w:val="24"/>
                <w:szCs w:val="24"/>
              </w:rPr>
              <w:t>($2</w:t>
            </w:r>
            <w:r w:rsidR="00390588">
              <w:rPr>
                <w:sz w:val="24"/>
                <w:szCs w:val="24"/>
              </w:rPr>
              <w:t xml:space="preserve">0 M in 2017-19 and $20M in the </w:t>
            </w:r>
            <w:r w:rsidRPr="002C0B5A">
              <w:rPr>
                <w:sz w:val="24"/>
                <w:szCs w:val="24"/>
              </w:rPr>
              <w:t>2019-21)</w:t>
            </w:r>
            <w:r w:rsidR="00FD20A2" w:rsidRPr="002C0B5A">
              <w:rPr>
                <w:sz w:val="24"/>
                <w:szCs w:val="24"/>
              </w:rPr>
              <w:t xml:space="preserve"> (This modifies</w:t>
            </w:r>
            <w:r w:rsidR="00F15093">
              <w:rPr>
                <w:sz w:val="24"/>
                <w:szCs w:val="24"/>
              </w:rPr>
              <w:t xml:space="preserve"> the S</w:t>
            </w:r>
            <w:r w:rsidR="00FD20A2" w:rsidRPr="002C0B5A">
              <w:rPr>
                <w:sz w:val="24"/>
                <w:szCs w:val="24"/>
              </w:rPr>
              <w:t xml:space="preserve">tormwater </w:t>
            </w:r>
            <w:r w:rsidRPr="002C0B5A">
              <w:rPr>
                <w:sz w:val="24"/>
                <w:szCs w:val="24"/>
              </w:rPr>
              <w:t xml:space="preserve">reform </w:t>
            </w:r>
            <w:r w:rsidR="00F15093">
              <w:rPr>
                <w:sz w:val="24"/>
                <w:szCs w:val="24"/>
              </w:rPr>
              <w:t xml:space="preserve">on </w:t>
            </w:r>
            <w:r w:rsidR="00FD20A2" w:rsidRPr="002C0B5A">
              <w:rPr>
                <w:sz w:val="24"/>
                <w:szCs w:val="24"/>
              </w:rPr>
              <w:t>page 3 of 2/13</w:t>
            </w:r>
            <w:r w:rsidRPr="002C0B5A">
              <w:rPr>
                <w:sz w:val="24"/>
                <w:szCs w:val="24"/>
              </w:rPr>
              <w:t xml:space="preserve"> proposal.)</w:t>
            </w:r>
          </w:p>
        </w:tc>
      </w:tr>
      <w:tr w:rsidR="00553AD7" w:rsidTr="00DC25A5">
        <w:tc>
          <w:tcPr>
            <w:tcW w:w="3978" w:type="dxa"/>
            <w:shd w:val="clear" w:color="auto" w:fill="D6E3BC" w:themeFill="accent3" w:themeFillTint="66"/>
          </w:tcPr>
          <w:p w:rsidR="00553AD7" w:rsidRPr="002C0B5A" w:rsidRDefault="00553AD7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Environmental Permitting</w:t>
            </w:r>
          </w:p>
        </w:tc>
        <w:tc>
          <w:tcPr>
            <w:tcW w:w="5598" w:type="dxa"/>
            <w:shd w:val="clear" w:color="auto" w:fill="D6E3BC" w:themeFill="accent3" w:themeFillTint="66"/>
          </w:tcPr>
          <w:p w:rsidR="00553AD7" w:rsidRPr="002C0B5A" w:rsidRDefault="001E0606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 xml:space="preserve">Same as MCC </w:t>
            </w:r>
            <w:r w:rsidR="00D44542" w:rsidRPr="002C0B5A">
              <w:rPr>
                <w:b/>
                <w:sz w:val="24"/>
                <w:szCs w:val="24"/>
              </w:rPr>
              <w:t>2/13</w:t>
            </w:r>
            <w:r w:rsidRPr="002C0B5A">
              <w:rPr>
                <w:b/>
                <w:sz w:val="24"/>
                <w:szCs w:val="24"/>
              </w:rPr>
              <w:t xml:space="preserve"> proposal</w:t>
            </w:r>
          </w:p>
        </w:tc>
      </w:tr>
      <w:tr w:rsidR="00553AD7" w:rsidTr="00DC25A5">
        <w:tc>
          <w:tcPr>
            <w:tcW w:w="3978" w:type="dxa"/>
            <w:shd w:val="clear" w:color="auto" w:fill="auto"/>
          </w:tcPr>
          <w:p w:rsidR="00553AD7" w:rsidRPr="002C0B5A" w:rsidRDefault="00553AD7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Improving Project Delivery Methods</w:t>
            </w:r>
          </w:p>
        </w:tc>
        <w:tc>
          <w:tcPr>
            <w:tcW w:w="5598" w:type="dxa"/>
            <w:shd w:val="clear" w:color="auto" w:fill="auto"/>
          </w:tcPr>
          <w:p w:rsidR="00553AD7" w:rsidRPr="002C0B5A" w:rsidRDefault="001E0606" w:rsidP="00D33DCD">
            <w:pPr>
              <w:spacing w:before="60" w:after="120"/>
              <w:rPr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 xml:space="preserve">Same as MCC </w:t>
            </w:r>
            <w:r w:rsidR="00D44542" w:rsidRPr="002C0B5A">
              <w:rPr>
                <w:b/>
                <w:sz w:val="24"/>
                <w:szCs w:val="24"/>
              </w:rPr>
              <w:t>2/13</w:t>
            </w:r>
            <w:r w:rsidRPr="002C0B5A">
              <w:rPr>
                <w:b/>
                <w:sz w:val="24"/>
                <w:szCs w:val="24"/>
              </w:rPr>
              <w:t xml:space="preserve"> proposal</w:t>
            </w:r>
          </w:p>
        </w:tc>
      </w:tr>
      <w:tr w:rsidR="00553AD7" w:rsidTr="00DC25A5">
        <w:tc>
          <w:tcPr>
            <w:tcW w:w="3978" w:type="dxa"/>
            <w:shd w:val="clear" w:color="auto" w:fill="D6E3BC" w:themeFill="accent3" w:themeFillTint="66"/>
          </w:tcPr>
          <w:p w:rsidR="00553AD7" w:rsidRPr="002C0B5A" w:rsidRDefault="00553AD7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Congestion Relief as Transportation Goal</w:t>
            </w:r>
          </w:p>
        </w:tc>
        <w:tc>
          <w:tcPr>
            <w:tcW w:w="5598" w:type="dxa"/>
            <w:shd w:val="clear" w:color="auto" w:fill="D6E3BC" w:themeFill="accent3" w:themeFillTint="66"/>
          </w:tcPr>
          <w:p w:rsidR="00553AD7" w:rsidRPr="002C0B5A" w:rsidRDefault="001E0606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 xml:space="preserve">Same as MCC </w:t>
            </w:r>
            <w:r w:rsidR="00D44542" w:rsidRPr="002C0B5A">
              <w:rPr>
                <w:b/>
                <w:sz w:val="24"/>
                <w:szCs w:val="24"/>
              </w:rPr>
              <w:t>2/13</w:t>
            </w:r>
            <w:r w:rsidRPr="002C0B5A">
              <w:rPr>
                <w:b/>
                <w:sz w:val="24"/>
                <w:szCs w:val="24"/>
              </w:rPr>
              <w:t xml:space="preserve"> proposal</w:t>
            </w:r>
          </w:p>
        </w:tc>
      </w:tr>
      <w:tr w:rsidR="00553AD7" w:rsidTr="00DC25A5">
        <w:tc>
          <w:tcPr>
            <w:tcW w:w="3978" w:type="dxa"/>
            <w:shd w:val="clear" w:color="auto" w:fill="auto"/>
          </w:tcPr>
          <w:p w:rsidR="00553AD7" w:rsidRPr="002C0B5A" w:rsidRDefault="00553AD7" w:rsidP="00D44542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Omnibus</w:t>
            </w:r>
            <w:r w:rsidR="002668AE" w:rsidRPr="002C0B5A">
              <w:rPr>
                <w:b/>
                <w:sz w:val="24"/>
                <w:szCs w:val="24"/>
              </w:rPr>
              <w:t xml:space="preserve"> Transportation Reform </w:t>
            </w:r>
            <w:r w:rsidR="00D44542" w:rsidRPr="002C0B5A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5598" w:type="dxa"/>
            <w:shd w:val="clear" w:color="auto" w:fill="auto"/>
          </w:tcPr>
          <w:p w:rsidR="00553AD7" w:rsidRPr="002C0B5A" w:rsidRDefault="001E0606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 xml:space="preserve">Same as MCC </w:t>
            </w:r>
            <w:r w:rsidR="00D44542" w:rsidRPr="002C0B5A">
              <w:rPr>
                <w:b/>
                <w:sz w:val="24"/>
                <w:szCs w:val="24"/>
              </w:rPr>
              <w:t>2/13</w:t>
            </w:r>
            <w:r w:rsidRPr="002C0B5A">
              <w:rPr>
                <w:b/>
                <w:sz w:val="24"/>
                <w:szCs w:val="24"/>
              </w:rPr>
              <w:t xml:space="preserve"> proposal</w:t>
            </w:r>
          </w:p>
        </w:tc>
      </w:tr>
      <w:tr w:rsidR="00553AD7" w:rsidTr="0038035B">
        <w:tc>
          <w:tcPr>
            <w:tcW w:w="3978" w:type="dxa"/>
            <w:shd w:val="clear" w:color="auto" w:fill="D6E3BC" w:themeFill="accent3" w:themeFillTint="66"/>
          </w:tcPr>
          <w:p w:rsidR="00553AD7" w:rsidRPr="002C0B5A" w:rsidRDefault="00553AD7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Ferry Capital Program Reform</w:t>
            </w:r>
          </w:p>
        </w:tc>
        <w:tc>
          <w:tcPr>
            <w:tcW w:w="5598" w:type="dxa"/>
            <w:shd w:val="clear" w:color="auto" w:fill="D6E3BC" w:themeFill="accent3" w:themeFillTint="66"/>
          </w:tcPr>
          <w:p w:rsidR="000C5EE9" w:rsidRPr="002C0B5A" w:rsidRDefault="001E0606" w:rsidP="0060797E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 xml:space="preserve">Same as MCC </w:t>
            </w:r>
            <w:r w:rsidR="00D44542" w:rsidRPr="002C0B5A">
              <w:rPr>
                <w:b/>
                <w:sz w:val="24"/>
                <w:szCs w:val="24"/>
              </w:rPr>
              <w:t>2/13</w:t>
            </w:r>
            <w:r w:rsidRPr="002C0B5A">
              <w:rPr>
                <w:b/>
                <w:sz w:val="24"/>
                <w:szCs w:val="24"/>
              </w:rPr>
              <w:t xml:space="preserve"> proposal</w:t>
            </w:r>
          </w:p>
        </w:tc>
      </w:tr>
      <w:tr w:rsidR="00553AD7" w:rsidTr="00DC25A5">
        <w:tc>
          <w:tcPr>
            <w:tcW w:w="3978" w:type="dxa"/>
            <w:shd w:val="clear" w:color="auto" w:fill="auto"/>
          </w:tcPr>
          <w:p w:rsidR="00553AD7" w:rsidRPr="002C0B5A" w:rsidRDefault="00553AD7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Labor</w:t>
            </w:r>
            <w:r w:rsidR="0060797E" w:rsidRPr="002C0B5A">
              <w:rPr>
                <w:b/>
                <w:sz w:val="24"/>
                <w:szCs w:val="24"/>
              </w:rPr>
              <w:t xml:space="preserve"> Reform</w:t>
            </w:r>
          </w:p>
        </w:tc>
        <w:tc>
          <w:tcPr>
            <w:tcW w:w="5598" w:type="dxa"/>
            <w:shd w:val="clear" w:color="auto" w:fill="auto"/>
          </w:tcPr>
          <w:p w:rsidR="00553AD7" w:rsidRPr="002C0B5A" w:rsidRDefault="001E0606" w:rsidP="000B06C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Sam</w:t>
            </w:r>
            <w:r w:rsidR="00D44542" w:rsidRPr="002C0B5A">
              <w:rPr>
                <w:b/>
                <w:sz w:val="24"/>
                <w:szCs w:val="24"/>
              </w:rPr>
              <w:t>e as MCC 2/13</w:t>
            </w:r>
            <w:r w:rsidR="000B06C8" w:rsidRPr="002C0B5A">
              <w:rPr>
                <w:b/>
                <w:sz w:val="24"/>
                <w:szCs w:val="24"/>
              </w:rPr>
              <w:t xml:space="preserve"> offer</w:t>
            </w:r>
            <w:r w:rsidRPr="002C0B5A">
              <w:rPr>
                <w:b/>
                <w:sz w:val="24"/>
                <w:szCs w:val="24"/>
              </w:rPr>
              <w:t>, except</w:t>
            </w:r>
            <w:r w:rsidR="000B06C8" w:rsidRPr="002C0B5A">
              <w:rPr>
                <w:b/>
                <w:sz w:val="24"/>
                <w:szCs w:val="24"/>
              </w:rPr>
              <w:t>:</w:t>
            </w:r>
          </w:p>
          <w:p w:rsidR="000B06C8" w:rsidRPr="002C0B5A" w:rsidRDefault="001E0606" w:rsidP="000B06C8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In order to address concern that reform may impact current prevailing wage work, the requirement that</w:t>
            </w:r>
            <w:r w:rsidR="000B06C8" w:rsidRPr="002C0B5A">
              <w:rPr>
                <w:sz w:val="24"/>
                <w:szCs w:val="24"/>
              </w:rPr>
              <w:t xml:space="preserve"> the "payment of prevailing wages to mechanics and laborers employed directly on the site of work"</w:t>
            </w:r>
            <w:r w:rsidR="00F15093">
              <w:rPr>
                <w:sz w:val="24"/>
                <w:szCs w:val="24"/>
              </w:rPr>
              <w:t xml:space="preserve"> will</w:t>
            </w:r>
            <w:r w:rsidRPr="002C0B5A">
              <w:rPr>
                <w:sz w:val="24"/>
                <w:szCs w:val="24"/>
              </w:rPr>
              <w:t xml:space="preserve"> be prospective in application only</w:t>
            </w:r>
            <w:r w:rsidR="00F15093">
              <w:rPr>
                <w:sz w:val="24"/>
                <w:szCs w:val="24"/>
              </w:rPr>
              <w:t>.</w:t>
            </w:r>
            <w:r w:rsidR="00FD20A2" w:rsidRPr="002C0B5A">
              <w:rPr>
                <w:sz w:val="24"/>
                <w:szCs w:val="24"/>
              </w:rPr>
              <w:t xml:space="preserve"> (This modifies the Labor Reform on page 4 of the 2/13 proposal</w:t>
            </w:r>
            <w:r w:rsidR="00F15093">
              <w:rPr>
                <w:sz w:val="24"/>
                <w:szCs w:val="24"/>
              </w:rPr>
              <w:t>.</w:t>
            </w:r>
            <w:r w:rsidR="00FD20A2" w:rsidRPr="002C0B5A">
              <w:rPr>
                <w:sz w:val="24"/>
                <w:szCs w:val="24"/>
              </w:rPr>
              <w:t>)</w:t>
            </w:r>
          </w:p>
        </w:tc>
      </w:tr>
      <w:tr w:rsidR="0038035B" w:rsidRPr="001E0606" w:rsidTr="004A7D20">
        <w:tc>
          <w:tcPr>
            <w:tcW w:w="3978" w:type="dxa"/>
            <w:shd w:val="clear" w:color="auto" w:fill="D6E3BC" w:themeFill="accent3" w:themeFillTint="66"/>
          </w:tcPr>
          <w:p w:rsidR="0038035B" w:rsidRPr="002C0B5A" w:rsidRDefault="0038035B" w:rsidP="004A7D20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Local Options</w:t>
            </w:r>
          </w:p>
        </w:tc>
        <w:tc>
          <w:tcPr>
            <w:tcW w:w="5598" w:type="dxa"/>
            <w:shd w:val="clear" w:color="auto" w:fill="D6E3BC" w:themeFill="accent3" w:themeFillTint="66"/>
          </w:tcPr>
          <w:p w:rsidR="0038035B" w:rsidRPr="002C0B5A" w:rsidRDefault="0038035B" w:rsidP="004A7D20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Same as MCC 2/13 proposal, except:</w:t>
            </w:r>
          </w:p>
          <w:p w:rsidR="0038035B" w:rsidRPr="002C0B5A" w:rsidRDefault="0038035B" w:rsidP="004A7D20">
            <w:pPr>
              <w:pStyle w:val="ListParagraph"/>
              <w:numPr>
                <w:ilvl w:val="0"/>
                <w:numId w:val="15"/>
              </w:numPr>
              <w:spacing w:before="60" w:after="120"/>
              <w:rPr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Local option for MVET changed to 60% roads and 40% transit</w:t>
            </w:r>
          </w:p>
          <w:p w:rsidR="0038035B" w:rsidRPr="002C0B5A" w:rsidRDefault="0038035B" w:rsidP="004A7D20">
            <w:pPr>
              <w:pStyle w:val="ListParagraph"/>
              <w:numPr>
                <w:ilvl w:val="0"/>
                <w:numId w:val="15"/>
              </w:num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Congestion relief charge extension is removed</w:t>
            </w:r>
            <w:r w:rsidR="00CA09DA" w:rsidRPr="002C0B5A">
              <w:rPr>
                <w:sz w:val="24"/>
                <w:szCs w:val="24"/>
              </w:rPr>
              <w:t xml:space="preserve"> (This modifies the Local Options </w:t>
            </w:r>
            <w:r w:rsidR="00F15093">
              <w:rPr>
                <w:sz w:val="24"/>
                <w:szCs w:val="24"/>
              </w:rPr>
              <w:t>section on page 10 of</w:t>
            </w:r>
            <w:r w:rsidR="00B11D4F">
              <w:rPr>
                <w:sz w:val="24"/>
                <w:szCs w:val="24"/>
              </w:rPr>
              <w:t xml:space="preserve"> the 2/13 Sen. King New Law Proposal</w:t>
            </w:r>
            <w:r w:rsidR="00F15093">
              <w:rPr>
                <w:sz w:val="24"/>
                <w:szCs w:val="24"/>
              </w:rPr>
              <w:t>.</w:t>
            </w:r>
            <w:r w:rsidR="00B11D4F">
              <w:rPr>
                <w:sz w:val="24"/>
                <w:szCs w:val="24"/>
              </w:rPr>
              <w:t>)</w:t>
            </w:r>
          </w:p>
        </w:tc>
      </w:tr>
      <w:tr w:rsidR="00553AD7" w:rsidTr="0038035B">
        <w:tc>
          <w:tcPr>
            <w:tcW w:w="3978" w:type="dxa"/>
            <w:shd w:val="clear" w:color="auto" w:fill="auto"/>
          </w:tcPr>
          <w:p w:rsidR="00553AD7" w:rsidRPr="002C0B5A" w:rsidRDefault="00553AD7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lastRenderedPageBreak/>
              <w:t>Multimodal</w:t>
            </w:r>
          </w:p>
        </w:tc>
        <w:tc>
          <w:tcPr>
            <w:tcW w:w="5598" w:type="dxa"/>
            <w:shd w:val="clear" w:color="auto" w:fill="auto"/>
          </w:tcPr>
          <w:p w:rsidR="00A50C71" w:rsidRPr="002C0B5A" w:rsidRDefault="006E2974" w:rsidP="000C5EE9">
            <w:pPr>
              <w:spacing w:before="60" w:after="120"/>
              <w:rPr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$</w:t>
            </w:r>
            <w:r w:rsidR="00B11D4F">
              <w:rPr>
                <w:b/>
                <w:sz w:val="24"/>
                <w:szCs w:val="24"/>
              </w:rPr>
              <w:t>804</w:t>
            </w:r>
            <w:r w:rsidR="00553AD7" w:rsidRPr="002C0B5A">
              <w:rPr>
                <w:b/>
                <w:sz w:val="24"/>
                <w:szCs w:val="24"/>
              </w:rPr>
              <w:t xml:space="preserve">M </w:t>
            </w:r>
            <w:r w:rsidR="00553AD7" w:rsidRPr="002C0B5A">
              <w:rPr>
                <w:sz w:val="24"/>
                <w:szCs w:val="24"/>
              </w:rPr>
              <w:t>for grants and</w:t>
            </w:r>
            <w:r w:rsidR="002668AE" w:rsidRPr="002C0B5A">
              <w:rPr>
                <w:sz w:val="24"/>
                <w:szCs w:val="24"/>
              </w:rPr>
              <w:t xml:space="preserve"> programs</w:t>
            </w:r>
            <w:r w:rsidR="00D44542" w:rsidRPr="002C0B5A">
              <w:rPr>
                <w:sz w:val="24"/>
                <w:szCs w:val="24"/>
              </w:rPr>
              <w:t>, not including $148 million in multimodal components of existing project list</w:t>
            </w:r>
            <w:r w:rsidR="00F15093">
              <w:rPr>
                <w:sz w:val="24"/>
                <w:szCs w:val="24"/>
              </w:rPr>
              <w:t>. (S</w:t>
            </w:r>
            <w:r w:rsidR="002668AE" w:rsidRPr="002C0B5A">
              <w:rPr>
                <w:sz w:val="24"/>
                <w:szCs w:val="24"/>
              </w:rPr>
              <w:t>ee attached Multimodal sheet for detail.)</w:t>
            </w:r>
          </w:p>
        </w:tc>
      </w:tr>
      <w:tr w:rsidR="000C5EE9" w:rsidTr="00DC25A5">
        <w:tc>
          <w:tcPr>
            <w:tcW w:w="3978" w:type="dxa"/>
            <w:shd w:val="clear" w:color="auto" w:fill="D6E3BC" w:themeFill="accent3" w:themeFillTint="66"/>
          </w:tcPr>
          <w:p w:rsidR="000C5EE9" w:rsidRPr="002C0B5A" w:rsidRDefault="000C5EE9" w:rsidP="00F02EA8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Project list</w:t>
            </w:r>
          </w:p>
        </w:tc>
        <w:tc>
          <w:tcPr>
            <w:tcW w:w="5598" w:type="dxa"/>
            <w:shd w:val="clear" w:color="auto" w:fill="D6E3BC" w:themeFill="accent3" w:themeFillTint="66"/>
          </w:tcPr>
          <w:p w:rsidR="000C5EE9" w:rsidRPr="002C0B5A" w:rsidRDefault="000C5EE9" w:rsidP="000C5EE9">
            <w:p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b/>
                <w:sz w:val="24"/>
                <w:szCs w:val="24"/>
              </w:rPr>
              <w:t>Same as MCC 2/13 offer except:</w:t>
            </w:r>
          </w:p>
          <w:p w:rsidR="000C5EE9" w:rsidRPr="002C0B5A" w:rsidRDefault="000C5EE9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In order to accommodate the</w:t>
            </w:r>
            <w:r w:rsidR="00CA09DA" w:rsidRPr="002C0B5A">
              <w:rPr>
                <w:sz w:val="24"/>
                <w:szCs w:val="24"/>
              </w:rPr>
              <w:t xml:space="preserve"> decrease in sales tax revenue</w:t>
            </w:r>
            <w:r w:rsidRPr="002C0B5A">
              <w:rPr>
                <w:sz w:val="24"/>
                <w:szCs w:val="24"/>
              </w:rPr>
              <w:t xml:space="preserve"> the following projects are removed</w:t>
            </w:r>
            <w:r w:rsidR="00CA09DA" w:rsidRPr="002C0B5A">
              <w:rPr>
                <w:sz w:val="24"/>
                <w:szCs w:val="24"/>
              </w:rPr>
              <w:t xml:space="preserve"> or decreased</w:t>
            </w:r>
            <w:r w:rsidRPr="002C0B5A">
              <w:rPr>
                <w:sz w:val="24"/>
                <w:szCs w:val="24"/>
              </w:rPr>
              <w:t xml:space="preserve">: </w:t>
            </w:r>
          </w:p>
          <w:p w:rsidR="00CA09DA" w:rsidRPr="002C0B5A" w:rsidRDefault="00CA09DA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I-5 Marvin Rd./SR 510 Interchange</w:t>
            </w:r>
          </w:p>
          <w:p w:rsidR="00CA09DA" w:rsidRPr="002C0B5A" w:rsidRDefault="00CA09DA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SR 99 Revitalization Edmonds</w:t>
            </w:r>
          </w:p>
          <w:p w:rsidR="00CA09DA" w:rsidRPr="002C0B5A" w:rsidRDefault="00CA09DA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SR 529/ I-5 Interchange</w:t>
            </w:r>
          </w:p>
          <w:p w:rsidR="00CA09DA" w:rsidRPr="002C0B5A" w:rsidRDefault="00CA09DA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b/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I-5 Marysville Interchange Improvement</w:t>
            </w:r>
          </w:p>
          <w:p w:rsidR="00CA09DA" w:rsidRPr="002C0B5A" w:rsidRDefault="00CA09DA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 xml:space="preserve">I-90 Snoqualimie Pass widening to Easton (reduced </w:t>
            </w:r>
            <w:r w:rsidR="00F15093">
              <w:rPr>
                <w:sz w:val="24"/>
                <w:szCs w:val="24"/>
              </w:rPr>
              <w:t xml:space="preserve">by </w:t>
            </w:r>
            <w:r w:rsidRPr="002C0B5A">
              <w:rPr>
                <w:sz w:val="24"/>
                <w:szCs w:val="24"/>
              </w:rPr>
              <w:t>$10 M)</w:t>
            </w:r>
          </w:p>
          <w:p w:rsidR="00CA09DA" w:rsidRPr="002C0B5A" w:rsidRDefault="00CA09DA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SR 16 Frontage Road, Gig Harbor</w:t>
            </w:r>
          </w:p>
          <w:p w:rsidR="00CA09DA" w:rsidRPr="002C0B5A" w:rsidRDefault="00CA09DA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SR 518 Des</w:t>
            </w:r>
            <w:r w:rsidR="00390588">
              <w:rPr>
                <w:sz w:val="24"/>
                <w:szCs w:val="24"/>
              </w:rPr>
              <w:t xml:space="preserve"> </w:t>
            </w:r>
            <w:r w:rsidRPr="002C0B5A">
              <w:rPr>
                <w:sz w:val="24"/>
                <w:szCs w:val="24"/>
              </w:rPr>
              <w:t>Moines Interchange Improvement</w:t>
            </w:r>
          </w:p>
          <w:p w:rsidR="00CA09DA" w:rsidRPr="002C0B5A" w:rsidRDefault="00DC102D" w:rsidP="00CA09DA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Corridor Overpass Bridge (r</w:t>
            </w:r>
            <w:r w:rsidR="00CA09DA" w:rsidRPr="002C0B5A">
              <w:rPr>
                <w:sz w:val="24"/>
                <w:szCs w:val="24"/>
              </w:rPr>
              <w:t xml:space="preserve">educed </w:t>
            </w:r>
            <w:r w:rsidR="00F15093">
              <w:rPr>
                <w:sz w:val="24"/>
                <w:szCs w:val="24"/>
              </w:rPr>
              <w:t xml:space="preserve">by </w:t>
            </w:r>
            <w:r w:rsidR="00CA09DA" w:rsidRPr="002C0B5A">
              <w:rPr>
                <w:sz w:val="24"/>
                <w:szCs w:val="24"/>
              </w:rPr>
              <w:t>$10 million)</w:t>
            </w:r>
          </w:p>
          <w:p w:rsidR="00CA09DA" w:rsidRPr="002C0B5A" w:rsidRDefault="00CA09DA" w:rsidP="00CA09DA">
            <w:pPr>
              <w:spacing w:before="60" w:after="120"/>
              <w:ind w:left="360"/>
              <w:rPr>
                <w:sz w:val="24"/>
                <w:szCs w:val="24"/>
              </w:rPr>
            </w:pPr>
            <w:r w:rsidRPr="002C0B5A">
              <w:rPr>
                <w:sz w:val="24"/>
                <w:szCs w:val="24"/>
              </w:rPr>
              <w:t>(This modifies the project list on pages 2-4 of Sen. King New-Law  Transportation Proposal</w:t>
            </w:r>
            <w:r w:rsidR="00390588">
              <w:rPr>
                <w:sz w:val="24"/>
                <w:szCs w:val="24"/>
              </w:rPr>
              <w:t>.)</w:t>
            </w:r>
          </w:p>
        </w:tc>
      </w:tr>
    </w:tbl>
    <w:p w:rsidR="00A50C71" w:rsidRDefault="00A50C71" w:rsidP="00553AD7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:rsidR="002C0B5A" w:rsidRDefault="002C0B5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975C74" w:rsidRDefault="00975C74">
      <w:pPr>
        <w:rPr>
          <w:rFonts w:eastAsia="Times New Roman" w:cs="Times New Roman"/>
        </w:rPr>
      </w:pPr>
    </w:p>
    <w:p w:rsidR="0060797E" w:rsidRDefault="0060797E">
      <w:pPr>
        <w:rPr>
          <w:rFonts w:eastAsia="Times New Roman" w:cs="Times New Roman"/>
        </w:rPr>
      </w:pPr>
    </w:p>
    <w:p w:rsidR="00975C74" w:rsidRDefault="00975C74" w:rsidP="00975C74">
      <w:pPr>
        <w:pStyle w:val="PlainText"/>
        <w:shd w:val="clear" w:color="auto" w:fill="D9D9D9" w:themeFill="background1" w:themeFillShade="D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Multimodal</w:t>
      </w:r>
    </w:p>
    <w:p w:rsidR="00975C74" w:rsidRDefault="00975C74" w:rsidP="00975C74">
      <w:pPr>
        <w:spacing w:after="0"/>
        <w:rPr>
          <w:b/>
        </w:rPr>
      </w:pPr>
    </w:p>
    <w:p w:rsidR="00975C74" w:rsidRDefault="00975C74" w:rsidP="00975C74">
      <w:pPr>
        <w:spacing w:after="120"/>
        <w:rPr>
          <w:sz w:val="18"/>
          <w:szCs w:val="18"/>
        </w:rPr>
      </w:pPr>
      <w:r w:rsidRPr="00D64627">
        <w:rPr>
          <w:b/>
        </w:rPr>
        <w:t xml:space="preserve">Side by Side Comparison </w:t>
      </w:r>
      <w:r w:rsidRPr="00D64627">
        <w:rPr>
          <w:sz w:val="18"/>
          <w:szCs w:val="18"/>
        </w:rPr>
        <w:t>($ in millions)</w:t>
      </w:r>
    </w:p>
    <w:tbl>
      <w:tblPr>
        <w:tblW w:w="9128" w:type="dxa"/>
        <w:tblInd w:w="288" w:type="dxa"/>
        <w:tblLook w:val="04A0" w:firstRow="1" w:lastRow="0" w:firstColumn="1" w:lastColumn="0" w:noHBand="0" w:noVBand="1"/>
      </w:tblPr>
      <w:tblGrid>
        <w:gridCol w:w="5580"/>
        <w:gridCol w:w="3548"/>
      </w:tblGrid>
      <w:tr w:rsidR="00064EA8" w:rsidRPr="000D253D" w:rsidTr="00A238AD">
        <w:trPr>
          <w:trHeight w:val="90"/>
        </w:trPr>
        <w:tc>
          <w:tcPr>
            <w:tcW w:w="5580" w:type="dxa"/>
            <w:noWrap/>
            <w:vAlign w:val="bottom"/>
            <w:hideMark/>
          </w:tcPr>
          <w:p w:rsidR="00064EA8" w:rsidRPr="000D253D" w:rsidRDefault="00064EA8" w:rsidP="00A238A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53D">
              <w:rPr>
                <w:b/>
                <w:sz w:val="24"/>
                <w:szCs w:val="24"/>
              </w:rPr>
              <w:t>Multimodal</w:t>
            </w:r>
            <w:r w:rsidRPr="000D25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Expenditures (12-Year)</w:t>
            </w:r>
          </w:p>
        </w:tc>
        <w:tc>
          <w:tcPr>
            <w:tcW w:w="3548" w:type="dxa"/>
            <w:vAlign w:val="bottom"/>
            <w:hideMark/>
          </w:tcPr>
          <w:p w:rsidR="00064EA8" w:rsidRPr="000D253D" w:rsidRDefault="00064EA8" w:rsidP="00A23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5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5310"/>
        <w:gridCol w:w="1620"/>
        <w:gridCol w:w="1620"/>
      </w:tblGrid>
      <w:tr w:rsidR="00064EA8" w:rsidRPr="000D253D" w:rsidTr="00064EA8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A8" w:rsidRPr="000D253D" w:rsidRDefault="00064EA8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MCC 2/13 </w:t>
            </w:r>
            <w:r w:rsidRPr="000D253D">
              <w:rPr>
                <w:sz w:val="24"/>
                <w:szCs w:val="24"/>
              </w:rPr>
              <w:t>Additive Revenue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0D253D" w:rsidRDefault="00064EA8" w:rsidP="00A2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2/21 Additive Revenue</w:t>
            </w:r>
          </w:p>
        </w:tc>
      </w:tr>
      <w:tr w:rsidR="00064EA8" w:rsidRPr="000D253D" w:rsidTr="00064EA8"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64EA8" w:rsidRPr="000D253D" w:rsidRDefault="00064EA8" w:rsidP="00A238AD">
            <w:pPr>
              <w:tabs>
                <w:tab w:val="left" w:pos="367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Transit Related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Special Needs Grants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Default="00146171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Rural Mobility Grant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0D253D" w:rsidRDefault="00146171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Regional Mobility Grant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146171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Vanpool Grant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37.5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0D253D" w:rsidRDefault="00146171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0B5A">
              <w:rPr>
                <w:sz w:val="24"/>
                <w:szCs w:val="24"/>
              </w:rPr>
              <w:t>7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Transit Projects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146171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A8" w:rsidRPr="000D253D" w:rsidRDefault="00146171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 Park and Ride Grant </w:t>
            </w:r>
            <w:r w:rsidR="00064EA8">
              <w:rPr>
                <w:sz w:val="24"/>
                <w:szCs w:val="24"/>
              </w:rPr>
              <w:t>Park and Rides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A8" w:rsidRPr="000D253D" w:rsidRDefault="00B11D4F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46171">
              <w:rPr>
                <w:sz w:val="24"/>
                <w:szCs w:val="24"/>
              </w:rPr>
              <w:t>0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Transit Mitigation (AWV)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B531F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64EA8" w:rsidRPr="000D253D" w:rsidTr="00064EA8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A8" w:rsidRPr="000D253D" w:rsidRDefault="00064EA8" w:rsidP="00A238AD">
            <w:pPr>
              <w:tabs>
                <w:tab w:val="left" w:pos="3672"/>
              </w:tabs>
              <w:jc w:val="right"/>
              <w:rPr>
                <w:b/>
                <w:sz w:val="24"/>
                <w:szCs w:val="24"/>
              </w:rPr>
            </w:pPr>
            <w:r w:rsidRPr="000D253D">
              <w:rPr>
                <w:b/>
                <w:sz w:val="24"/>
                <w:szCs w:val="24"/>
              </w:rPr>
              <w:t>Subtotal Transit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A8" w:rsidRPr="000D253D" w:rsidRDefault="00064EA8" w:rsidP="00A23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Default="002C0B5A" w:rsidP="00A23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</w:t>
            </w:r>
          </w:p>
        </w:tc>
      </w:tr>
      <w:tr w:rsidR="00064EA8" w:rsidRPr="000D253D" w:rsidTr="00064E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64EA8" w:rsidRPr="000D253D" w:rsidRDefault="00064EA8" w:rsidP="00A238AD">
            <w:pPr>
              <w:tabs>
                <w:tab w:val="left" w:pos="3672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</w:t>
            </w:r>
            <w:r w:rsidRPr="000D253D">
              <w:rPr>
                <w:sz w:val="24"/>
                <w:szCs w:val="24"/>
              </w:rPr>
              <w:t xml:space="preserve"> &amp; Pedestrian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</w:t>
            </w:r>
            <w:r w:rsidRPr="000D253D">
              <w:rPr>
                <w:sz w:val="24"/>
                <w:szCs w:val="24"/>
              </w:rPr>
              <w:t>/Ped</w:t>
            </w:r>
            <w:r>
              <w:rPr>
                <w:sz w:val="24"/>
                <w:szCs w:val="24"/>
              </w:rPr>
              <w:t>estrian</w:t>
            </w:r>
            <w:r w:rsidRPr="000D253D">
              <w:rPr>
                <w:sz w:val="24"/>
                <w:szCs w:val="24"/>
              </w:rPr>
              <w:t xml:space="preserve"> Grant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146171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531F">
              <w:rPr>
                <w:sz w:val="24"/>
                <w:szCs w:val="24"/>
              </w:rPr>
              <w:t>2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Safe Routes to Schools Grant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0D253D" w:rsidRDefault="000B531F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Complete Streets  Grant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EA8" w:rsidRPr="000D253D" w:rsidRDefault="000B531F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64EA8" w:rsidRPr="000D253D" w:rsidTr="00064EA8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A8" w:rsidRPr="000D253D" w:rsidRDefault="00064EA8" w:rsidP="00A238A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</w:t>
            </w:r>
            <w:r w:rsidRPr="000D253D">
              <w:rPr>
                <w:sz w:val="24"/>
                <w:szCs w:val="24"/>
              </w:rPr>
              <w:t xml:space="preserve"> and Pedestrian Improvements included in Highway Projects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 w:rsidRPr="000D253D">
              <w:rPr>
                <w:sz w:val="24"/>
                <w:szCs w:val="24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0D253D" w:rsidRDefault="00064EA8" w:rsidP="00A238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064EA8" w:rsidRPr="000D253D" w:rsidTr="00064EA8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A8" w:rsidRPr="000D253D" w:rsidRDefault="00064EA8" w:rsidP="00A238AD">
            <w:pPr>
              <w:tabs>
                <w:tab w:val="left" w:pos="3672"/>
              </w:tabs>
              <w:jc w:val="right"/>
              <w:rPr>
                <w:b/>
                <w:sz w:val="24"/>
                <w:szCs w:val="24"/>
              </w:rPr>
            </w:pPr>
            <w:r w:rsidRPr="000D253D">
              <w:rPr>
                <w:b/>
                <w:sz w:val="24"/>
                <w:szCs w:val="24"/>
              </w:rPr>
              <w:t xml:space="preserve">Subtotal </w:t>
            </w:r>
            <w:r>
              <w:rPr>
                <w:b/>
                <w:sz w:val="24"/>
                <w:szCs w:val="24"/>
              </w:rPr>
              <w:t>Bicycle</w:t>
            </w:r>
            <w:r w:rsidRPr="000D253D">
              <w:rPr>
                <w:b/>
                <w:sz w:val="24"/>
                <w:szCs w:val="24"/>
              </w:rPr>
              <w:t>/Ped</w:t>
            </w:r>
            <w:r>
              <w:rPr>
                <w:b/>
                <w:sz w:val="24"/>
                <w:szCs w:val="24"/>
              </w:rPr>
              <w:t>estrian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A8" w:rsidRPr="000D253D" w:rsidRDefault="00064EA8" w:rsidP="00A238AD">
            <w:pPr>
              <w:jc w:val="right"/>
              <w:rPr>
                <w:b/>
                <w:sz w:val="24"/>
                <w:szCs w:val="24"/>
              </w:rPr>
            </w:pPr>
            <w:r w:rsidRPr="000D253D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0D253D" w:rsidRDefault="002C0B5A" w:rsidP="00A23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B531F">
              <w:rPr>
                <w:b/>
                <w:sz w:val="24"/>
                <w:szCs w:val="24"/>
              </w:rPr>
              <w:t>4</w:t>
            </w:r>
          </w:p>
        </w:tc>
      </w:tr>
      <w:tr w:rsidR="00064EA8" w:rsidRPr="000D253D" w:rsidTr="00064EA8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64EA8" w:rsidRPr="000D253D" w:rsidRDefault="00064EA8" w:rsidP="00A238AD">
            <w:pPr>
              <w:rPr>
                <w:b/>
                <w:sz w:val="24"/>
                <w:szCs w:val="24"/>
              </w:rPr>
            </w:pPr>
            <w:r w:rsidRPr="000D253D">
              <w:rPr>
                <w:b/>
                <w:sz w:val="24"/>
                <w:szCs w:val="24"/>
              </w:rPr>
              <w:t>Total Multimodal Funding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64EA8" w:rsidRPr="000D253D" w:rsidRDefault="00064EA8" w:rsidP="00A23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64EA8" w:rsidRDefault="00B11D4F" w:rsidP="00A238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0D1414">
              <w:rPr>
                <w:b/>
                <w:sz w:val="24"/>
                <w:szCs w:val="24"/>
              </w:rPr>
              <w:t>4</w:t>
            </w:r>
          </w:p>
        </w:tc>
      </w:tr>
    </w:tbl>
    <w:p w:rsidR="00064EA8" w:rsidRPr="00F15093" w:rsidRDefault="00F15093" w:rsidP="00064EA8">
      <w:pPr>
        <w:pStyle w:val="ListParagraph"/>
        <w:rPr>
          <w:sz w:val="24"/>
          <w:szCs w:val="24"/>
        </w:rPr>
      </w:pPr>
      <w:r w:rsidRPr="00F15093">
        <w:rPr>
          <w:sz w:val="24"/>
          <w:szCs w:val="24"/>
        </w:rPr>
        <w:t>(This modifies Multimodal Section on page 7</w:t>
      </w:r>
      <w:r w:rsidR="00390588">
        <w:rPr>
          <w:sz w:val="24"/>
          <w:szCs w:val="24"/>
        </w:rPr>
        <w:t xml:space="preserve"> of the Sen. King New-</w:t>
      </w:r>
      <w:r w:rsidRPr="00F15093">
        <w:rPr>
          <w:sz w:val="24"/>
          <w:szCs w:val="24"/>
        </w:rPr>
        <w:t>Law Transportation Proposal.)</w:t>
      </w:r>
    </w:p>
    <w:tbl>
      <w:tblPr>
        <w:tblStyle w:val="TableGrid"/>
        <w:tblpPr w:leftFromText="180" w:rightFromText="180" w:vertAnchor="text" w:horzAnchor="margin" w:tblpXSpec="center" w:tblpY="123"/>
        <w:tblW w:w="4427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846"/>
        <w:gridCol w:w="1562"/>
        <w:gridCol w:w="2071"/>
      </w:tblGrid>
      <w:tr w:rsidR="00F15093" w:rsidRPr="00AD6AF2" w:rsidTr="00F15093">
        <w:trPr>
          <w:trHeight w:val="323"/>
        </w:trPr>
        <w:tc>
          <w:tcPr>
            <w:tcW w:w="2858" w:type="pct"/>
            <w:tcBorders>
              <w:bottom w:val="single" w:sz="18" w:space="0" w:color="365F91" w:themeColor="accent1" w:themeShade="BF"/>
            </w:tcBorders>
            <w:shd w:val="clear" w:color="auto" w:fill="auto"/>
            <w:hideMark/>
          </w:tcPr>
          <w:p w:rsidR="00F15093" w:rsidRPr="00F15093" w:rsidRDefault="00F15093" w:rsidP="00F15093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F15093">
              <w:rPr>
                <w:b/>
                <w:sz w:val="24"/>
                <w:szCs w:val="24"/>
              </w:rPr>
              <w:t>Distribution Expenditure</w:t>
            </w:r>
          </w:p>
        </w:tc>
        <w:tc>
          <w:tcPr>
            <w:tcW w:w="921" w:type="pct"/>
            <w:tcBorders>
              <w:bottom w:val="single" w:sz="18" w:space="0" w:color="365F91" w:themeColor="accent1" w:themeShade="BF"/>
            </w:tcBorders>
            <w:shd w:val="clear" w:color="auto" w:fill="auto"/>
            <w:hideMark/>
          </w:tcPr>
          <w:p w:rsidR="00F15093" w:rsidRPr="00F15093" w:rsidRDefault="00F15093" w:rsidP="00F15093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F15093">
              <w:rPr>
                <w:b/>
                <w:sz w:val="24"/>
                <w:szCs w:val="24"/>
              </w:rPr>
              <w:t>MCC 2/13</w:t>
            </w:r>
          </w:p>
        </w:tc>
        <w:tc>
          <w:tcPr>
            <w:tcW w:w="1221" w:type="pct"/>
            <w:tcBorders>
              <w:bottom w:val="single" w:sz="18" w:space="0" w:color="365F91" w:themeColor="accent1" w:themeShade="BF"/>
            </w:tcBorders>
            <w:shd w:val="clear" w:color="auto" w:fill="auto"/>
            <w:hideMark/>
          </w:tcPr>
          <w:p w:rsidR="00F15093" w:rsidRPr="00F15093" w:rsidRDefault="00F15093" w:rsidP="00F15093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F15093">
              <w:rPr>
                <w:b/>
                <w:sz w:val="24"/>
                <w:szCs w:val="24"/>
              </w:rPr>
              <w:t>MCC 2/21</w:t>
            </w:r>
          </w:p>
        </w:tc>
      </w:tr>
      <w:tr w:rsidR="00F15093" w:rsidRPr="00AD6AF2" w:rsidTr="00F15093">
        <w:trPr>
          <w:cantSplit/>
          <w:trHeight w:val="296"/>
        </w:trPr>
        <w:tc>
          <w:tcPr>
            <w:tcW w:w="2858" w:type="pct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hideMark/>
          </w:tcPr>
          <w:p w:rsidR="00F15093" w:rsidRPr="00F15093" w:rsidRDefault="00F15093" w:rsidP="00F15093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15093">
              <w:rPr>
                <w:sz w:val="24"/>
                <w:szCs w:val="24"/>
              </w:rPr>
              <w:t>Cities and Counties Distribution by Formula</w:t>
            </w:r>
          </w:p>
        </w:tc>
        <w:tc>
          <w:tcPr>
            <w:tcW w:w="921" w:type="pct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hideMark/>
          </w:tcPr>
          <w:p w:rsidR="00F15093" w:rsidRPr="00F15093" w:rsidRDefault="00F15093" w:rsidP="00F15093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15093">
              <w:rPr>
                <w:sz w:val="24"/>
                <w:szCs w:val="24"/>
              </w:rPr>
              <w:t>652</w:t>
            </w:r>
          </w:p>
        </w:tc>
        <w:tc>
          <w:tcPr>
            <w:tcW w:w="1221" w:type="pct"/>
            <w:tcBorders>
              <w:top w:val="single" w:sz="18" w:space="0" w:color="365F91" w:themeColor="accent1" w:themeShade="BF"/>
            </w:tcBorders>
            <w:shd w:val="clear" w:color="auto" w:fill="FFFFFF" w:themeFill="background1"/>
          </w:tcPr>
          <w:p w:rsidR="00F15093" w:rsidRPr="00F15093" w:rsidRDefault="00F15093" w:rsidP="00F15093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15093">
              <w:rPr>
                <w:sz w:val="24"/>
                <w:szCs w:val="24"/>
              </w:rPr>
              <w:t>367**</w:t>
            </w:r>
          </w:p>
        </w:tc>
      </w:tr>
    </w:tbl>
    <w:p w:rsidR="00975C74" w:rsidRPr="00AD6AF2" w:rsidRDefault="00975C74" w:rsidP="00975C74">
      <w:pPr>
        <w:pStyle w:val="PlainText"/>
        <w:spacing w:after="120"/>
        <w:rPr>
          <w:b/>
          <w:sz w:val="18"/>
          <w:szCs w:val="18"/>
        </w:rPr>
      </w:pPr>
    </w:p>
    <w:p w:rsidR="00975C74" w:rsidRPr="00F15093" w:rsidRDefault="000D1414" w:rsidP="00F15093">
      <w:pPr>
        <w:pStyle w:val="ListParagraph"/>
        <w:rPr>
          <w:sz w:val="24"/>
          <w:szCs w:val="24"/>
        </w:rPr>
      </w:pPr>
      <w:r w:rsidRPr="00F15093">
        <w:t>(</w:t>
      </w:r>
      <w:r w:rsidRPr="00F15093">
        <w:rPr>
          <w:sz w:val="24"/>
          <w:szCs w:val="24"/>
        </w:rPr>
        <w:t>This modifies page 6 of Sen. King New-Law Transportation</w:t>
      </w:r>
      <w:r w:rsidR="00390588">
        <w:rPr>
          <w:sz w:val="24"/>
          <w:szCs w:val="24"/>
        </w:rPr>
        <w:t xml:space="preserve"> Proposal.</w:t>
      </w:r>
      <w:r w:rsidRPr="00F15093">
        <w:rPr>
          <w:sz w:val="24"/>
          <w:szCs w:val="24"/>
        </w:rPr>
        <w:t>)</w:t>
      </w:r>
    </w:p>
    <w:p w:rsidR="00A50C71" w:rsidRPr="00F15093" w:rsidRDefault="000B531F" w:rsidP="00F15093">
      <w:pPr>
        <w:pStyle w:val="ListParagraph"/>
        <w:rPr>
          <w:sz w:val="24"/>
          <w:szCs w:val="24"/>
        </w:rPr>
      </w:pPr>
      <w:r w:rsidRPr="00F15093">
        <w:rPr>
          <w:sz w:val="24"/>
          <w:szCs w:val="24"/>
        </w:rPr>
        <w:t>*This expenditure is not included for purposes of the calculation of total multimodal funding</w:t>
      </w:r>
      <w:r w:rsidR="00390588">
        <w:rPr>
          <w:sz w:val="24"/>
          <w:szCs w:val="24"/>
        </w:rPr>
        <w:t>.</w:t>
      </w:r>
      <w:r w:rsidR="002C0B5A" w:rsidRPr="00F15093">
        <w:rPr>
          <w:sz w:val="24"/>
          <w:szCs w:val="24"/>
        </w:rPr>
        <w:t xml:space="preserve"> </w:t>
      </w:r>
    </w:p>
    <w:p w:rsidR="000D1414" w:rsidRPr="00F15093" w:rsidRDefault="000D1414" w:rsidP="00F15093">
      <w:pPr>
        <w:pStyle w:val="ListParagraph"/>
        <w:rPr>
          <w:sz w:val="24"/>
          <w:szCs w:val="24"/>
        </w:rPr>
      </w:pPr>
      <w:r w:rsidRPr="00F15093">
        <w:rPr>
          <w:sz w:val="24"/>
          <w:szCs w:val="24"/>
        </w:rPr>
        <w:t>**This amount is to be disbursed to all</w:t>
      </w:r>
      <w:r w:rsidR="002C0B5A" w:rsidRPr="00F15093">
        <w:rPr>
          <w:sz w:val="24"/>
          <w:szCs w:val="24"/>
        </w:rPr>
        <w:t xml:space="preserve"> cities and counties other than King, Snohomish, and </w:t>
      </w:r>
      <w:r w:rsidR="00320F1A">
        <w:rPr>
          <w:sz w:val="24"/>
          <w:szCs w:val="24"/>
        </w:rPr>
        <w:t>Pierce C</w:t>
      </w:r>
      <w:r w:rsidR="00F15093" w:rsidRPr="00F15093">
        <w:rPr>
          <w:sz w:val="24"/>
          <w:szCs w:val="24"/>
        </w:rPr>
        <w:t>ounties and the cities of Seattle, Everett, and Tacoma.</w:t>
      </w:r>
    </w:p>
    <w:sectPr w:rsidR="000D1414" w:rsidRPr="00F15093" w:rsidSect="00DC6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86" w:rsidRDefault="00E82B86" w:rsidP="000A6ECD">
      <w:pPr>
        <w:spacing w:after="0" w:line="240" w:lineRule="auto"/>
      </w:pPr>
      <w:r>
        <w:separator/>
      </w:r>
    </w:p>
  </w:endnote>
  <w:endnote w:type="continuationSeparator" w:id="0">
    <w:p w:rsidR="00E82B86" w:rsidRDefault="00E82B86" w:rsidP="000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638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3A34" w:rsidRDefault="00703A34" w:rsidP="00F067BF">
            <w:pPr>
              <w:pStyle w:val="Footer"/>
              <w:jc w:val="right"/>
              <w:rPr>
                <w:b/>
                <w:sz w:val="24"/>
                <w:szCs w:val="24"/>
              </w:rPr>
            </w:pPr>
          </w:p>
          <w:p w:rsidR="00703A34" w:rsidRDefault="002668AE" w:rsidP="00F067BF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t>MCC</w:t>
            </w:r>
            <w:r w:rsidR="00975C74">
              <w:rPr>
                <w:b/>
                <w:sz w:val="24"/>
                <w:szCs w:val="24"/>
              </w:rPr>
              <w:t xml:space="preserve"> 2/21/14</w:t>
            </w:r>
          </w:p>
        </w:sdtContent>
      </w:sdt>
    </w:sdtContent>
  </w:sdt>
  <w:p w:rsidR="00703A34" w:rsidRDefault="00703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86" w:rsidRDefault="00E82B86" w:rsidP="000A6ECD">
      <w:pPr>
        <w:spacing w:after="0" w:line="240" w:lineRule="auto"/>
      </w:pPr>
      <w:r>
        <w:separator/>
      </w:r>
    </w:p>
  </w:footnote>
  <w:footnote w:type="continuationSeparator" w:id="0">
    <w:p w:rsidR="00E82B86" w:rsidRDefault="00E82B86" w:rsidP="000A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48"/>
    <w:multiLevelType w:val="hybridMultilevel"/>
    <w:tmpl w:val="FA96D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5182C"/>
    <w:multiLevelType w:val="hybridMultilevel"/>
    <w:tmpl w:val="08C83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1755"/>
    <w:multiLevelType w:val="hybridMultilevel"/>
    <w:tmpl w:val="A47C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B1E"/>
    <w:multiLevelType w:val="hybridMultilevel"/>
    <w:tmpl w:val="E29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2CC1"/>
    <w:multiLevelType w:val="hybridMultilevel"/>
    <w:tmpl w:val="EC60A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404FF"/>
    <w:multiLevelType w:val="hybridMultilevel"/>
    <w:tmpl w:val="80EA1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6B19F0"/>
    <w:multiLevelType w:val="hybridMultilevel"/>
    <w:tmpl w:val="6F9C391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5B104C8"/>
    <w:multiLevelType w:val="hybridMultilevel"/>
    <w:tmpl w:val="54A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80FC4"/>
    <w:multiLevelType w:val="hybridMultilevel"/>
    <w:tmpl w:val="210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91D0F"/>
    <w:multiLevelType w:val="hybridMultilevel"/>
    <w:tmpl w:val="D67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78B5"/>
    <w:multiLevelType w:val="hybridMultilevel"/>
    <w:tmpl w:val="B9D6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07D6A"/>
    <w:multiLevelType w:val="hybridMultilevel"/>
    <w:tmpl w:val="6040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52D7C"/>
    <w:multiLevelType w:val="hybridMultilevel"/>
    <w:tmpl w:val="73C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357CD"/>
    <w:multiLevelType w:val="hybridMultilevel"/>
    <w:tmpl w:val="43B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F1472"/>
    <w:multiLevelType w:val="hybridMultilevel"/>
    <w:tmpl w:val="25F8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63337"/>
    <w:multiLevelType w:val="hybridMultilevel"/>
    <w:tmpl w:val="76DA0050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B3"/>
    <w:rsid w:val="00002C52"/>
    <w:rsid w:val="00006B8B"/>
    <w:rsid w:val="00020D65"/>
    <w:rsid w:val="000257AE"/>
    <w:rsid w:val="00052297"/>
    <w:rsid w:val="00057DDD"/>
    <w:rsid w:val="000623BB"/>
    <w:rsid w:val="00064A65"/>
    <w:rsid w:val="00064EA8"/>
    <w:rsid w:val="00073906"/>
    <w:rsid w:val="00074891"/>
    <w:rsid w:val="0007525A"/>
    <w:rsid w:val="00076CB0"/>
    <w:rsid w:val="00077135"/>
    <w:rsid w:val="000815F8"/>
    <w:rsid w:val="00086146"/>
    <w:rsid w:val="000916CC"/>
    <w:rsid w:val="00093202"/>
    <w:rsid w:val="00094453"/>
    <w:rsid w:val="000A6ECD"/>
    <w:rsid w:val="000B06C8"/>
    <w:rsid w:val="000B531F"/>
    <w:rsid w:val="000B68DA"/>
    <w:rsid w:val="000B7B77"/>
    <w:rsid w:val="000C5EE9"/>
    <w:rsid w:val="000C5F46"/>
    <w:rsid w:val="000C71DD"/>
    <w:rsid w:val="000D1414"/>
    <w:rsid w:val="000E1862"/>
    <w:rsid w:val="000E7DB3"/>
    <w:rsid w:val="00100A57"/>
    <w:rsid w:val="001053EC"/>
    <w:rsid w:val="00110002"/>
    <w:rsid w:val="00115A64"/>
    <w:rsid w:val="00125B39"/>
    <w:rsid w:val="00146171"/>
    <w:rsid w:val="0016109B"/>
    <w:rsid w:val="00164C94"/>
    <w:rsid w:val="00173EDB"/>
    <w:rsid w:val="001744EE"/>
    <w:rsid w:val="001764D8"/>
    <w:rsid w:val="00182DAC"/>
    <w:rsid w:val="00185EAE"/>
    <w:rsid w:val="001867D4"/>
    <w:rsid w:val="0018749C"/>
    <w:rsid w:val="001A3765"/>
    <w:rsid w:val="001B48ED"/>
    <w:rsid w:val="001C0317"/>
    <w:rsid w:val="001C0ACD"/>
    <w:rsid w:val="001E0606"/>
    <w:rsid w:val="001E0D0C"/>
    <w:rsid w:val="001E5152"/>
    <w:rsid w:val="002313B3"/>
    <w:rsid w:val="00234D3D"/>
    <w:rsid w:val="00260A36"/>
    <w:rsid w:val="002668AE"/>
    <w:rsid w:val="0027179E"/>
    <w:rsid w:val="0027575E"/>
    <w:rsid w:val="00276951"/>
    <w:rsid w:val="002B2CD8"/>
    <w:rsid w:val="002B2E96"/>
    <w:rsid w:val="002C0B5A"/>
    <w:rsid w:val="002D2E77"/>
    <w:rsid w:val="002D4CB6"/>
    <w:rsid w:val="002E03A7"/>
    <w:rsid w:val="002E460B"/>
    <w:rsid w:val="002E54F7"/>
    <w:rsid w:val="002F3D9F"/>
    <w:rsid w:val="002F7EA0"/>
    <w:rsid w:val="003061FA"/>
    <w:rsid w:val="00320F1A"/>
    <w:rsid w:val="00332C5D"/>
    <w:rsid w:val="00343529"/>
    <w:rsid w:val="003442BE"/>
    <w:rsid w:val="003541DD"/>
    <w:rsid w:val="00361381"/>
    <w:rsid w:val="0038035B"/>
    <w:rsid w:val="003819BB"/>
    <w:rsid w:val="00385128"/>
    <w:rsid w:val="00390588"/>
    <w:rsid w:val="00390733"/>
    <w:rsid w:val="00396739"/>
    <w:rsid w:val="003A4935"/>
    <w:rsid w:val="003A67F0"/>
    <w:rsid w:val="003B145E"/>
    <w:rsid w:val="003C0A31"/>
    <w:rsid w:val="003C3E53"/>
    <w:rsid w:val="003D0085"/>
    <w:rsid w:val="003D4413"/>
    <w:rsid w:val="003D7C7B"/>
    <w:rsid w:val="003E5661"/>
    <w:rsid w:val="0042204A"/>
    <w:rsid w:val="00441401"/>
    <w:rsid w:val="0045683B"/>
    <w:rsid w:val="004813E5"/>
    <w:rsid w:val="004821B8"/>
    <w:rsid w:val="00491B7B"/>
    <w:rsid w:val="004931C6"/>
    <w:rsid w:val="004B6639"/>
    <w:rsid w:val="004B7358"/>
    <w:rsid w:val="004C11FB"/>
    <w:rsid w:val="004C17C6"/>
    <w:rsid w:val="004C4E85"/>
    <w:rsid w:val="004D5944"/>
    <w:rsid w:val="004E22FB"/>
    <w:rsid w:val="004E2D14"/>
    <w:rsid w:val="004E35F8"/>
    <w:rsid w:val="005266D4"/>
    <w:rsid w:val="00526DBD"/>
    <w:rsid w:val="005524B8"/>
    <w:rsid w:val="00553AD7"/>
    <w:rsid w:val="005817C3"/>
    <w:rsid w:val="00584BF6"/>
    <w:rsid w:val="00590C93"/>
    <w:rsid w:val="00591B06"/>
    <w:rsid w:val="005A5435"/>
    <w:rsid w:val="005B4B6E"/>
    <w:rsid w:val="005E5318"/>
    <w:rsid w:val="005F3741"/>
    <w:rsid w:val="0060797E"/>
    <w:rsid w:val="00622EF9"/>
    <w:rsid w:val="006262DA"/>
    <w:rsid w:val="0063760D"/>
    <w:rsid w:val="006721DC"/>
    <w:rsid w:val="00675D17"/>
    <w:rsid w:val="006B261E"/>
    <w:rsid w:val="006B3563"/>
    <w:rsid w:val="006B3A83"/>
    <w:rsid w:val="006B5D7A"/>
    <w:rsid w:val="006E082D"/>
    <w:rsid w:val="006E280D"/>
    <w:rsid w:val="006E2974"/>
    <w:rsid w:val="00703A34"/>
    <w:rsid w:val="007154EC"/>
    <w:rsid w:val="007222F0"/>
    <w:rsid w:val="00737AEA"/>
    <w:rsid w:val="007400D7"/>
    <w:rsid w:val="00762736"/>
    <w:rsid w:val="0078053E"/>
    <w:rsid w:val="00786E3E"/>
    <w:rsid w:val="00787AE5"/>
    <w:rsid w:val="00792D97"/>
    <w:rsid w:val="007A3D17"/>
    <w:rsid w:val="007A5BDF"/>
    <w:rsid w:val="007A7C7F"/>
    <w:rsid w:val="007B13FC"/>
    <w:rsid w:val="007C410F"/>
    <w:rsid w:val="007C5960"/>
    <w:rsid w:val="007E3232"/>
    <w:rsid w:val="007E55F1"/>
    <w:rsid w:val="007E7779"/>
    <w:rsid w:val="007F145B"/>
    <w:rsid w:val="007F25A7"/>
    <w:rsid w:val="007F5784"/>
    <w:rsid w:val="00806134"/>
    <w:rsid w:val="00811FC3"/>
    <w:rsid w:val="00820B24"/>
    <w:rsid w:val="008248B1"/>
    <w:rsid w:val="00842BF1"/>
    <w:rsid w:val="00843225"/>
    <w:rsid w:val="0084547E"/>
    <w:rsid w:val="008555C4"/>
    <w:rsid w:val="00863F01"/>
    <w:rsid w:val="0086638A"/>
    <w:rsid w:val="00866BAD"/>
    <w:rsid w:val="008A0D16"/>
    <w:rsid w:val="008A2841"/>
    <w:rsid w:val="008B0674"/>
    <w:rsid w:val="008B1B0E"/>
    <w:rsid w:val="008B56FF"/>
    <w:rsid w:val="008D0B39"/>
    <w:rsid w:val="008E40F8"/>
    <w:rsid w:val="008E4BF0"/>
    <w:rsid w:val="008E635A"/>
    <w:rsid w:val="008F3829"/>
    <w:rsid w:val="008F4D28"/>
    <w:rsid w:val="00902321"/>
    <w:rsid w:val="00903A27"/>
    <w:rsid w:val="0092364F"/>
    <w:rsid w:val="0093442B"/>
    <w:rsid w:val="00945629"/>
    <w:rsid w:val="00945A40"/>
    <w:rsid w:val="009509E3"/>
    <w:rsid w:val="009636FD"/>
    <w:rsid w:val="00966DF1"/>
    <w:rsid w:val="00975C74"/>
    <w:rsid w:val="00983E1D"/>
    <w:rsid w:val="00997D6F"/>
    <w:rsid w:val="009A329A"/>
    <w:rsid w:val="009A5229"/>
    <w:rsid w:val="009B5355"/>
    <w:rsid w:val="009C2007"/>
    <w:rsid w:val="009C2899"/>
    <w:rsid w:val="009C32E0"/>
    <w:rsid w:val="009C6551"/>
    <w:rsid w:val="009D0DDC"/>
    <w:rsid w:val="009E0414"/>
    <w:rsid w:val="009E1638"/>
    <w:rsid w:val="009E67F5"/>
    <w:rsid w:val="009F57FC"/>
    <w:rsid w:val="009F672E"/>
    <w:rsid w:val="00A05D17"/>
    <w:rsid w:val="00A20183"/>
    <w:rsid w:val="00A27D36"/>
    <w:rsid w:val="00A343D1"/>
    <w:rsid w:val="00A346EF"/>
    <w:rsid w:val="00A50C71"/>
    <w:rsid w:val="00A55CE5"/>
    <w:rsid w:val="00AA5AA1"/>
    <w:rsid w:val="00AA6E56"/>
    <w:rsid w:val="00AB1C8D"/>
    <w:rsid w:val="00AC43BE"/>
    <w:rsid w:val="00AD03E6"/>
    <w:rsid w:val="00AD6AF2"/>
    <w:rsid w:val="00AF391F"/>
    <w:rsid w:val="00B00F93"/>
    <w:rsid w:val="00B11D4F"/>
    <w:rsid w:val="00B24676"/>
    <w:rsid w:val="00B259CA"/>
    <w:rsid w:val="00B3300D"/>
    <w:rsid w:val="00B432E7"/>
    <w:rsid w:val="00B605E4"/>
    <w:rsid w:val="00B60F41"/>
    <w:rsid w:val="00B6708A"/>
    <w:rsid w:val="00B73BCB"/>
    <w:rsid w:val="00B75D77"/>
    <w:rsid w:val="00B77A86"/>
    <w:rsid w:val="00B93458"/>
    <w:rsid w:val="00BC636B"/>
    <w:rsid w:val="00BD05D0"/>
    <w:rsid w:val="00BD48F5"/>
    <w:rsid w:val="00BE4C61"/>
    <w:rsid w:val="00BF4F46"/>
    <w:rsid w:val="00C03C98"/>
    <w:rsid w:val="00C32D45"/>
    <w:rsid w:val="00C3355C"/>
    <w:rsid w:val="00C4472A"/>
    <w:rsid w:val="00C51698"/>
    <w:rsid w:val="00C52800"/>
    <w:rsid w:val="00C5416E"/>
    <w:rsid w:val="00C54A49"/>
    <w:rsid w:val="00C63B30"/>
    <w:rsid w:val="00C84E00"/>
    <w:rsid w:val="00C90CC4"/>
    <w:rsid w:val="00C92BFB"/>
    <w:rsid w:val="00CA09DA"/>
    <w:rsid w:val="00CA30C3"/>
    <w:rsid w:val="00CB5164"/>
    <w:rsid w:val="00CB6BF2"/>
    <w:rsid w:val="00CC1379"/>
    <w:rsid w:val="00CC1D7C"/>
    <w:rsid w:val="00CD3D16"/>
    <w:rsid w:val="00CD6557"/>
    <w:rsid w:val="00CE1968"/>
    <w:rsid w:val="00CF7123"/>
    <w:rsid w:val="00D070A0"/>
    <w:rsid w:val="00D23524"/>
    <w:rsid w:val="00D2480F"/>
    <w:rsid w:val="00D24A3F"/>
    <w:rsid w:val="00D33DCD"/>
    <w:rsid w:val="00D44542"/>
    <w:rsid w:val="00D51C9A"/>
    <w:rsid w:val="00D572FF"/>
    <w:rsid w:val="00D64627"/>
    <w:rsid w:val="00D74436"/>
    <w:rsid w:val="00D84241"/>
    <w:rsid w:val="00D9068E"/>
    <w:rsid w:val="00DC102D"/>
    <w:rsid w:val="00DC25A5"/>
    <w:rsid w:val="00DC6480"/>
    <w:rsid w:val="00DD1AFE"/>
    <w:rsid w:val="00DD4193"/>
    <w:rsid w:val="00DD6969"/>
    <w:rsid w:val="00DF31E7"/>
    <w:rsid w:val="00DF546F"/>
    <w:rsid w:val="00DF7884"/>
    <w:rsid w:val="00E13223"/>
    <w:rsid w:val="00E52478"/>
    <w:rsid w:val="00E547AB"/>
    <w:rsid w:val="00E56E02"/>
    <w:rsid w:val="00E71B98"/>
    <w:rsid w:val="00E82B86"/>
    <w:rsid w:val="00E832A8"/>
    <w:rsid w:val="00E944BF"/>
    <w:rsid w:val="00EB021C"/>
    <w:rsid w:val="00EB2DBB"/>
    <w:rsid w:val="00EC1AE9"/>
    <w:rsid w:val="00ED12A8"/>
    <w:rsid w:val="00ED4076"/>
    <w:rsid w:val="00EF182A"/>
    <w:rsid w:val="00F02EA8"/>
    <w:rsid w:val="00F067BF"/>
    <w:rsid w:val="00F13ECB"/>
    <w:rsid w:val="00F15093"/>
    <w:rsid w:val="00F162B8"/>
    <w:rsid w:val="00F234CE"/>
    <w:rsid w:val="00F25D16"/>
    <w:rsid w:val="00F629A7"/>
    <w:rsid w:val="00F74ABD"/>
    <w:rsid w:val="00F76B12"/>
    <w:rsid w:val="00F816FF"/>
    <w:rsid w:val="00F845C6"/>
    <w:rsid w:val="00FA24BD"/>
    <w:rsid w:val="00FA63BB"/>
    <w:rsid w:val="00FB5F2A"/>
    <w:rsid w:val="00FD0941"/>
    <w:rsid w:val="00FD1F8D"/>
    <w:rsid w:val="00FD20A2"/>
    <w:rsid w:val="00FE2E7D"/>
    <w:rsid w:val="00FE5F70"/>
    <w:rsid w:val="00FF458B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313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3B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D0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9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4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CD"/>
  </w:style>
  <w:style w:type="paragraph" w:styleId="Footer">
    <w:name w:val="footer"/>
    <w:basedOn w:val="Normal"/>
    <w:link w:val="FooterChar"/>
    <w:uiPriority w:val="99"/>
    <w:unhideWhenUsed/>
    <w:rsid w:val="000A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313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3B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D0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9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4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CD"/>
  </w:style>
  <w:style w:type="paragraph" w:styleId="Footer">
    <w:name w:val="footer"/>
    <w:basedOn w:val="Normal"/>
    <w:link w:val="FooterChar"/>
    <w:uiPriority w:val="99"/>
    <w:unhideWhenUsed/>
    <w:rsid w:val="000A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Jackson Maynard</cp:lastModifiedBy>
  <cp:revision>2</cp:revision>
  <cp:lastPrinted>2014-02-21T16:10:00Z</cp:lastPrinted>
  <dcterms:created xsi:type="dcterms:W3CDTF">2014-02-28T21:32:00Z</dcterms:created>
  <dcterms:modified xsi:type="dcterms:W3CDTF">2014-02-28T21:32:00Z</dcterms:modified>
</cp:coreProperties>
</file>